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E95" w:rsidRP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6E95">
        <w:rPr>
          <w:rFonts w:ascii="Times New Roman" w:hAnsi="Times New Roman" w:cs="Times New Roman"/>
          <w:b/>
          <w:sz w:val="48"/>
          <w:szCs w:val="48"/>
        </w:rPr>
        <w:t>ШВР</w:t>
      </w:r>
    </w:p>
    <w:p w:rsidR="005D6084" w:rsidRPr="00996E95" w:rsidRDefault="00996E95" w:rsidP="00996E95">
      <w:pPr>
        <w:ind w:right="-1" w:firstLine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6E95">
        <w:rPr>
          <w:rFonts w:ascii="Times New Roman" w:hAnsi="Times New Roman" w:cs="Times New Roman"/>
          <w:b/>
          <w:sz w:val="48"/>
          <w:szCs w:val="48"/>
        </w:rPr>
        <w:t>штаб воспитательной работы</w:t>
      </w:r>
    </w:p>
    <w:p w:rsidR="00D534C8" w:rsidRPr="00996E95" w:rsidRDefault="00D534C8" w:rsidP="00996E95">
      <w:pPr>
        <w:ind w:right="-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1E90" w:rsidRPr="00996E95" w:rsidRDefault="00996E95" w:rsidP="00996E95">
      <w:pPr>
        <w:spacing w:after="240"/>
        <w:ind w:right="-1"/>
        <w:jc w:val="center"/>
        <w:rPr>
          <w:rFonts w:ascii="Times New Roman" w:hAnsi="Times New Roman" w:cs="Times New Roman"/>
          <w:b/>
          <w:sz w:val="48"/>
          <w:szCs w:val="48"/>
        </w:rPr>
        <w:sectPr w:rsidR="00C51E90" w:rsidRPr="00996E95" w:rsidSect="00AD623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48"/>
          <w:szCs w:val="48"/>
        </w:rPr>
        <w:t>МБОУ 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Кафыркумухская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сош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им.М.А.Алхлаева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6A0A7B" w:rsidRDefault="002A5F7E" w:rsidP="006A0A7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Pr="006A0A7B">
        <w:rPr>
          <w:rFonts w:ascii="Times New Roman" w:hAnsi="Times New Roman" w:cs="Times New Roman"/>
          <w:b/>
          <w:bCs/>
          <w:sz w:val="28"/>
          <w:szCs w:val="28"/>
        </w:rPr>
        <w:t>етодические рекомендации</w:t>
      </w:r>
    </w:p>
    <w:p w:rsidR="006A0A7B" w:rsidRDefault="002A5F7E" w:rsidP="006A0A7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A7B">
        <w:rPr>
          <w:rFonts w:ascii="Times New Roman" w:hAnsi="Times New Roman" w:cs="Times New Roman"/>
          <w:b/>
          <w:bCs/>
          <w:sz w:val="28"/>
          <w:szCs w:val="28"/>
        </w:rPr>
        <w:t>о создании штаба воспитательной работы в общеобразовательных организациях</w:t>
      </w:r>
    </w:p>
    <w:p w:rsidR="006A0A7B" w:rsidRPr="006A0A7B" w:rsidRDefault="006A0A7B" w:rsidP="006A0A7B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Воспитание детей –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Цели, задачи и принципы деятельности в системе образования определяются базовыми целями и принципами воспитания, социализации и развития личности обучающихся, изложенными в Федеральном законе от 29 декабря 2012 года № 273-ФЗ «Об образовании в Российской Федерации» и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Согласно Указу Президента Российской Федерации от 21 июля 2020 года № 474 «О национальных целях развития Российской Федерации на период до 2030 года», одним из основных целевых показателей, характеризующих достижение национальных целей к 2030 году,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Региональная цель в области развития воспитания в системе образования – развитие региональной инфраструктуры воспитания и социализации детей.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В Республике Дагестан система организации воспитания и социализации обучающихся включает:</w:t>
      </w:r>
    </w:p>
    <w:p w:rsidR="006A0A7B" w:rsidRPr="006A0A7B" w:rsidRDefault="006A0A7B" w:rsidP="00A51127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комплекс всех форм и методов организации воспитательного процесса;</w:t>
      </w:r>
    </w:p>
    <w:p w:rsidR="006A0A7B" w:rsidRPr="006A0A7B" w:rsidRDefault="006A0A7B" w:rsidP="00A51127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подготовку и переподготовку кадров по приоритетным направлениям воспитания и социализации обучающихся;</w:t>
      </w:r>
    </w:p>
    <w:p w:rsidR="006A0A7B" w:rsidRPr="006A0A7B" w:rsidRDefault="006A0A7B" w:rsidP="00A51127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сетевое и межведомственное взаимодействие для методического обеспечения воспитательной работы;</w:t>
      </w:r>
    </w:p>
    <w:p w:rsidR="006A0A7B" w:rsidRPr="006A0A7B" w:rsidRDefault="006A0A7B" w:rsidP="00A51127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мониторинг системы работы организации воспитания и социализации обучающихся.</w:t>
      </w:r>
    </w:p>
    <w:p w:rsidR="006A0A7B" w:rsidRPr="006A0A7B" w:rsidRDefault="006A0A7B" w:rsidP="00A51127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Региональная система организации воспитания и социализации обучающихся направлена на решение следующих задач:</w:t>
      </w:r>
    </w:p>
    <w:p w:rsidR="006A0A7B" w:rsidRPr="006A0A7B" w:rsidRDefault="006A0A7B" w:rsidP="00FE011F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создание условий для саморазвития и самореализации личности каждого ребёнка Республики Дагестан посредством включения его в реализацию различных социальных проектов и программ;</w:t>
      </w:r>
    </w:p>
    <w:p w:rsidR="006A0A7B" w:rsidRPr="006A0A7B" w:rsidRDefault="006A0A7B" w:rsidP="00FE011F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разработку и реализацию мероприятий по организации интеграции систем общего и дополнительного образования на региональном уровне с </w:t>
      </w:r>
      <w:r w:rsidRPr="006A0A7B">
        <w:rPr>
          <w:rFonts w:ascii="Times New Roman" w:hAnsi="Times New Roman" w:cs="Times New Roman"/>
          <w:bCs/>
          <w:sz w:val="28"/>
          <w:szCs w:val="28"/>
        </w:rPr>
        <w:lastRenderedPageBreak/>
        <w:t>привлечением органов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спорта;</w:t>
      </w:r>
    </w:p>
    <w:p w:rsidR="006A0A7B" w:rsidRPr="006A0A7B" w:rsidRDefault="006A0A7B" w:rsidP="00FE011F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Работа по развитию системы организации воспитания и социализации обучающихся предполагает: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актуализацию нормативных правовых актов, обеспечивающих систему работы организации воспитания и социализации обучающихся;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создание региональной инфраструктуры, обеспечивающей систему работы по организации воспитания и социализации обучающихся (функционирование регионального координационного совета по профилактике безнадзорности, правонарушений несовершеннолетних и защите их прав, создание регионального координационного совета по реализации воспитания в Республике Дагестан, функционирование региональных ресурсных центров, функционирование педагогических сообществ);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сопровождение региональных инновационных и базовых площадок;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разработку и реализацию научно-методических продуктов по актуальным направлениям воспитания и социализации обучающихся;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проведение ряда общественно значимых мероприятий (включая проведение региональных конкурсов среди образовательных организаций и конкурсов профессионального мастерства) по актуальным вопросам воспитания и социализации обучающихся;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выявление профессиональных дефицитов у педагогов и специалистов в области воспитания, разработку и реализацию программ, направленных на устранение таких дефицитов;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разработку инструментария, обеспечивающего оценку системы работы организации воспитания и социализации обучающихся.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Сегодня цели и ценностные приоритеты в сфере воспитания подрастающего поколения представляют не только традиционные субъекты (семья, школа), но и различные общественные, культурные, досуговые, религиозные организации, политические партии и движения, детские общественные объединения, молодежные </w:t>
      </w:r>
      <w:proofErr w:type="spellStart"/>
      <w:r w:rsidRPr="006A0A7B">
        <w:rPr>
          <w:rFonts w:ascii="Times New Roman" w:hAnsi="Times New Roman" w:cs="Times New Roman"/>
          <w:bCs/>
          <w:sz w:val="28"/>
          <w:szCs w:val="28"/>
        </w:rPr>
        <w:t>субкультурные</w:t>
      </w:r>
      <w:proofErr w:type="spellEnd"/>
      <w:r w:rsidRPr="006A0A7B">
        <w:rPr>
          <w:rFonts w:ascii="Times New Roman" w:hAnsi="Times New Roman" w:cs="Times New Roman"/>
          <w:bCs/>
          <w:sz w:val="28"/>
          <w:szCs w:val="28"/>
        </w:rPr>
        <w:t xml:space="preserve"> общности.</w:t>
      </w:r>
    </w:p>
    <w:p w:rsidR="006A0A7B" w:rsidRPr="006A0A7B" w:rsidRDefault="006A0A7B" w:rsidP="00A4502B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В данных условиях возникает потребность, с одной стороны, в сотрудничестве тех субъектов воспитания, которые ориентированы на развитие личности ребенка на основе гуманистических ценностей, и, с другой стороны, в их совместном противодействии влиянию субъектов </w:t>
      </w:r>
      <w:proofErr w:type="spellStart"/>
      <w:r w:rsidRPr="006A0A7B">
        <w:rPr>
          <w:rFonts w:ascii="Times New Roman" w:hAnsi="Times New Roman" w:cs="Times New Roman"/>
          <w:bCs/>
          <w:sz w:val="28"/>
          <w:szCs w:val="28"/>
        </w:rPr>
        <w:t>диссоциального</w:t>
      </w:r>
      <w:proofErr w:type="spellEnd"/>
      <w:r w:rsidRPr="006A0A7B">
        <w:rPr>
          <w:rFonts w:ascii="Times New Roman" w:hAnsi="Times New Roman" w:cs="Times New Roman"/>
          <w:bCs/>
          <w:sz w:val="28"/>
          <w:szCs w:val="28"/>
        </w:rPr>
        <w:t xml:space="preserve"> воспитания. Поэтому можно говорить о необходимости перехода к </w:t>
      </w:r>
      <w:proofErr w:type="spellStart"/>
      <w:r w:rsidRPr="006A0A7B">
        <w:rPr>
          <w:rFonts w:ascii="Times New Roman" w:hAnsi="Times New Roman" w:cs="Times New Roman"/>
          <w:bCs/>
          <w:sz w:val="28"/>
          <w:szCs w:val="28"/>
        </w:rPr>
        <w:t>полисубъектной</w:t>
      </w:r>
      <w:proofErr w:type="spellEnd"/>
      <w:r w:rsidRPr="006A0A7B">
        <w:rPr>
          <w:rFonts w:ascii="Times New Roman" w:hAnsi="Times New Roman" w:cs="Times New Roman"/>
          <w:bCs/>
          <w:sz w:val="28"/>
          <w:szCs w:val="28"/>
        </w:rPr>
        <w:t xml:space="preserve"> стратегии воспитания, состоящей в последовательной ориентации социально-педагогических исследований, моделей, проектов, управляющей деятельности на изучение, моделирование, проектирование, организацию диалога и взаимодействия различных социальных субъектов в решении проблем воспитания подрастающего поколения.</w:t>
      </w:r>
    </w:p>
    <w:p w:rsidR="006A0A7B" w:rsidRPr="006A0A7B" w:rsidRDefault="006A0A7B" w:rsidP="0061218D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lastRenderedPageBreak/>
        <w:t>Выявление воспитательного потенциала различных субъектов социализации и воспитания позволит наладить их полноценное социальное взаимодействие.</w:t>
      </w:r>
    </w:p>
    <w:p w:rsidR="006A0A7B" w:rsidRPr="006A0A7B" w:rsidRDefault="006A0A7B" w:rsidP="0061218D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Под полноценным социальным взаимодействием следует понимать единый спектр ценностных установок и нравственных нормативов, которые должны быть принимаемыми и понимаемыми большинством членов воспитательного сообщества школы. </w:t>
      </w:r>
    </w:p>
    <w:p w:rsidR="006A0A7B" w:rsidRPr="006A0A7B" w:rsidRDefault="006A0A7B" w:rsidP="0061218D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В результате такого взаимодействия запланирована работа единой команды объединенной едиными целями, содержанием и стратегиями воспитательной работы – штаб воспитательной работы общеобразовательной работы. </w:t>
      </w:r>
    </w:p>
    <w:p w:rsidR="0061218D" w:rsidRDefault="0061218D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698" w:rsidRDefault="00FE0698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A7B" w:rsidRPr="00984B1A" w:rsidRDefault="00A1577D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A0A7B" w:rsidRPr="00984B1A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6A0A7B" w:rsidRPr="00984B1A" w:rsidRDefault="006A0A7B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1A">
        <w:rPr>
          <w:rFonts w:ascii="Times New Roman" w:hAnsi="Times New Roman" w:cs="Times New Roman"/>
          <w:b/>
          <w:bCs/>
          <w:sz w:val="28"/>
          <w:szCs w:val="28"/>
        </w:rPr>
        <w:t>о штабе воспитательной работы общеобразовательной организации</w:t>
      </w:r>
    </w:p>
    <w:p w:rsidR="0061218D" w:rsidRPr="00984B1A" w:rsidRDefault="0061218D" w:rsidP="0061218D">
      <w:pPr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:rsidR="006A0A7B" w:rsidRPr="0061218D" w:rsidRDefault="006A0A7B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1.1 Настоящее положение регламентирует деятельность Штаба воспитательной работы </w:t>
      </w:r>
      <w:r w:rsidR="00FE0698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FE0698">
        <w:rPr>
          <w:rFonts w:ascii="Times New Roman" w:hAnsi="Times New Roman" w:cs="Times New Roman"/>
          <w:bCs/>
          <w:sz w:val="28"/>
          <w:szCs w:val="28"/>
        </w:rPr>
        <w:t>Кафыркумухская</w:t>
      </w:r>
      <w:proofErr w:type="spellEnd"/>
      <w:r w:rsidR="00FE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0698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="00FE0698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="00FE0698">
        <w:rPr>
          <w:rFonts w:ascii="Times New Roman" w:hAnsi="Times New Roman" w:cs="Times New Roman"/>
          <w:bCs/>
          <w:sz w:val="28"/>
          <w:szCs w:val="28"/>
        </w:rPr>
        <w:t>М.А.Алхлаева</w:t>
      </w:r>
      <w:proofErr w:type="spellEnd"/>
      <w:r w:rsidR="00C72DF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1.2. ШВР создается для координирования воспитательной                                      (в т.ч. профилактической) работы по предупреждению правонарушений несовершеннолетних, обеспечения межведомственного взаимодействия.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1.3. ШВР проводит мероприятия по воспитанию, развитию и социальной защите обучающихся в общеобразовательной организации и по месту жительства, содействует охране их прав.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1.4. ШВР в своей деятельности руководствуется федеральными, региональными и локальными нормативными документами.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1.5. Общее руководство ШВР осуществляет заместитель директора                    по воспитательной работе общеобразовательной организации.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1.6. Члены ШВР назначаются приказом директора общеобразовательной организации из числа педагогов школы, осуществляющих воспитательную (в т.ч. профилактическую) работу. В члены ШВР могут быть включены представители других ведомств системы профилактики (по согласованию).  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1.7. В состав ШВР входят: заместитель директора по воспитательной работе,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</w:t>
      </w:r>
      <w:r w:rsidR="00FE0698">
        <w:rPr>
          <w:rFonts w:ascii="Times New Roman" w:hAnsi="Times New Roman" w:cs="Times New Roman"/>
          <w:bCs/>
          <w:sz w:val="28"/>
          <w:szCs w:val="28"/>
        </w:rPr>
        <w:t>старший вожатый</w:t>
      </w:r>
      <w:r w:rsidRPr="006A0A7B">
        <w:rPr>
          <w:rFonts w:ascii="Times New Roman" w:hAnsi="Times New Roman" w:cs="Times New Roman"/>
          <w:bCs/>
          <w:sz w:val="28"/>
          <w:szCs w:val="28"/>
        </w:rPr>
        <w:t>, инспектор по делам несовершеннолетних (по согласованию), медработник (по согласованию), представители религиозных конфессий (по согласованию),</w:t>
      </w:r>
      <w:r w:rsidR="00FE0698">
        <w:rPr>
          <w:rFonts w:ascii="Times New Roman" w:hAnsi="Times New Roman" w:cs="Times New Roman"/>
          <w:bCs/>
          <w:sz w:val="28"/>
          <w:szCs w:val="28"/>
        </w:rPr>
        <w:t xml:space="preserve"> председатель родительского комитета</w:t>
      </w:r>
      <w:r w:rsidRPr="006A0A7B">
        <w:rPr>
          <w:rFonts w:ascii="Times New Roman" w:hAnsi="Times New Roman" w:cs="Times New Roman"/>
          <w:bCs/>
          <w:sz w:val="28"/>
          <w:szCs w:val="28"/>
        </w:rPr>
        <w:t>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1.8. Совет профилактики является структурным подразделением ШВР и действует на основании Положения о Совете профилактики образовательной организации.  </w:t>
      </w:r>
    </w:p>
    <w:p w:rsidR="006A0A7B" w:rsidRPr="0061218D" w:rsidRDefault="006A0A7B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>2. Основные задачи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2.1. Планирование и организация воспитательной работы общеобразовательной организации.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2.2. Формирование в процессе воспитания активной жизненной позиции, осуществление личностного развития обучающихся.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2.3. Организация работы по профилактике безнадзорности и правонарушений.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2.4. Выявление детей и семей, находящихся в социально опасном положении.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</w:t>
      </w:r>
      <w:r w:rsidRPr="006A0A7B">
        <w:rPr>
          <w:rFonts w:ascii="Times New Roman" w:hAnsi="Times New Roman" w:cs="Times New Roman"/>
          <w:bCs/>
          <w:sz w:val="28"/>
          <w:szCs w:val="28"/>
        </w:rPr>
        <w:lastRenderedPageBreak/>
        <w:t>взаимодействие с социокультурными центрами в муниципальном образовании, детскими и молодежными организациями.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2.6. Проведение мониторинга воспитательной, в том числе и профилактической работы.</w:t>
      </w:r>
    </w:p>
    <w:p w:rsidR="006A0A7B" w:rsidRPr="0061218D" w:rsidRDefault="006A0A7B" w:rsidP="00424D19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>3. Обязанности специалистов ШВР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3.1. Обязанности заместителя директора по воспитательной работе (руководителя ШВР): 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планирование, организация и контроль за организацией воспитательной, в том числе профилактической работы; 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организация, контроль, анализ и оценка результативности работы ШВР; 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работы школьного Совета профилактики;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работы с обучающимися, состоящими на профилактических учетах различного вида;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деятельности службы школьной медиации в образовательной организации.</w:t>
      </w:r>
    </w:p>
    <w:p w:rsidR="006A0A7B" w:rsidRPr="006A0A7B" w:rsidRDefault="006A0A7B" w:rsidP="00424D19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3.2. Обязанности социального педагога: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профилактика    социальных рисков, выявление   детей и семей, находящихся в социально опасном положении, требующих особого педагогического внимания; 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индивидуальная работа с обучающимися, находящимися на профилактических учетах различного вида (в т.ч. вовлечение обучающихся в досуговую деятельность);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6A0A7B" w:rsidRPr="006A0A7B" w:rsidRDefault="006A0A7B" w:rsidP="00984B1A">
      <w:pPr>
        <w:ind w:right="8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3.3. Обязанности педагога-психолога: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работа по профилактике </w:t>
      </w:r>
      <w:proofErr w:type="spellStart"/>
      <w:r w:rsidRPr="006A0A7B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6A0A7B">
        <w:rPr>
          <w:rFonts w:ascii="Times New Roman" w:hAnsi="Times New Roman" w:cs="Times New Roman"/>
          <w:bCs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</w:t>
      </w:r>
      <w:r w:rsidRPr="006A0A7B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формирование и поддержка благоприятной психологической атмосферы в ученическом и педагогическом коллективах;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984B1A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3.4. Обязанности руководителя школьного методического объединения классных руководителей: 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координация деятельности классных руководителей по организации воспитательной (в т.ч. профилактической) работы, досуга и занятости детей.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3.5. Обязанности руководителя спортивного клуба: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пропаганда здорового образа жизни;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и проведение спортивно-массовых мероприятий с детьми.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3.6. Обязанности педагога дополнительного образования: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вовлечение во внеурочную деятельность обучающихся, в том числе, требующих особого педагогического внимания.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3.7. Обязанности библиотекаря: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участие в просветительской работе с обучающимися, родителями (законными представителями несовершеннолетних), педагогами;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3.8. Обязанности педагога-организатора (старшего вожатого):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работы органов ученического самоуправления;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вовлечение обучающихся, в работу детских и молодёжных общественных организаций, объединений.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3.9. Обязанности медицинского работника (по согласованию):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контроля за питанием, трудовым, физическим воспитанием, условиями организации учебно-воспитательного процесса согласно СанПиН;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участие в реализации воспитательных (в т.ч. профилактических) мероприятий, исходя из плана воспитательной работы, с учетом решения, принятого на заседании ШВР.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3.10. Обязанности инспектора по делам несовершеннолетних                           (по согласованию):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организация правового просвещения участников образовательного процесса, индивидуальной работы с обучающимися и родителями (законными представителями несовершеннолетних), семьями, состоящими на разных видах учета;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участие в реализации воспитательных (в т.ч. профилактических) мероприятий, исходя из плана воспитательной работы, с учетом решения, принятого на заседании ШВР.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3.11. Обязанности представителей религиозных конфессий                               (по согласованию): участие в просветительской работе со школьниками, родителями (законными представителями несовершеннолетних) и педагогами, исходя из плана воспитательной работы, с учетом решения, принятого на заседании ШВР. </w:t>
      </w:r>
    </w:p>
    <w:p w:rsidR="006A0A7B" w:rsidRPr="0061218D" w:rsidRDefault="006A0A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ШВР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4.1. Заседания ШВР проводятся не реже 1 раза в месяц (9 плановых заседаний в год).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4.2. Внеплановые заседания ШВР проводятся согласно возникающим потребностям.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4.3. На заседаниях ШВР происходит планирование и оценка деятельности специалистов ШВР; члены ШВР представляют предложения по организации воспитательной (в т.ч. профилактической) работы с несовершеннолетним (семьей несовершеннолетнего), отчеты о проделанной работе, мониторинг результатов и т.д. 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 xml:space="preserve">4.4. Ежегодно анализируется эффективность работы ШВР. </w:t>
      </w:r>
    </w:p>
    <w:p w:rsidR="006A0A7B" w:rsidRPr="0061218D" w:rsidRDefault="006A0A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>5. Права членов ШВР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5.1. Принятие участия в заседаниях педсоветов, советов профилактики, психолого-педагогических консилиумов и в работе других рабочих групп.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5.2. Посещение уроков, внеклассных, внешкольных мероприятий.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5.3. Знакомство с необходимой для работы документацией.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5.4. Выступление с обобщением опыта воспитательной работы.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5.5. Владение учебной и факультативной нагрузкой в соответствии                       с образованием и квалификацией.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5.6. Обращение, в случае необходимости, через администрацию школы с ходатайствами в соответствующие органы по вопросам, связанным с оказанием помощи обучающимся/семьям.</w:t>
      </w:r>
    </w:p>
    <w:p w:rsidR="006A0A7B" w:rsidRPr="0061218D" w:rsidRDefault="006A0A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>6. Основные направления работы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lastRenderedPageBreak/>
        <w:t>6.1. Создание целостной системы воспитательной работы образовательной организации.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6.2. Определение приоритетов воспитательной работы.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6.4. Развитие системы дополнительного образования в школе.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6.5. Организация трудовой занятости, оздоровления и досуга                                   в каникулярное время.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6.7. Проведение лекций, бесед, в том числе с привлечением специалистов служб системы профилактики.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6.8. Систематическое информирование педагогического коллектива, родительской общественности о ходе и результатах воспитательной                        (в т.ч. профилактической) работы в образовательной организации.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D7B" w:rsidRDefault="00EB5D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A7B" w:rsidRPr="0061218D" w:rsidRDefault="006A0A7B" w:rsidP="00984B1A">
      <w:pPr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НОРМАТИВНАЯ ДОКУМЕНТАЦИЯ ШТАБА ВОСПИТАТЕЛЬНОЙ РАБОТЫ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1. Положение о ШВР</w:t>
      </w:r>
      <w:r w:rsidR="00EB5D7B">
        <w:rPr>
          <w:rFonts w:ascii="Times New Roman" w:hAnsi="Times New Roman" w:cs="Times New Roman"/>
          <w:bCs/>
          <w:sz w:val="28"/>
          <w:szCs w:val="28"/>
        </w:rPr>
        <w:t xml:space="preserve"> в МБОУ «</w:t>
      </w:r>
      <w:proofErr w:type="spellStart"/>
      <w:r w:rsidR="00EB5D7B">
        <w:rPr>
          <w:rFonts w:ascii="Times New Roman" w:hAnsi="Times New Roman" w:cs="Times New Roman"/>
          <w:bCs/>
          <w:sz w:val="28"/>
          <w:szCs w:val="28"/>
        </w:rPr>
        <w:t>Кафыркумухская</w:t>
      </w:r>
      <w:proofErr w:type="spellEnd"/>
      <w:r w:rsidR="00EB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5D7B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="00EB5D7B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="00EB5D7B">
        <w:rPr>
          <w:rFonts w:ascii="Times New Roman" w:hAnsi="Times New Roman" w:cs="Times New Roman"/>
          <w:bCs/>
          <w:sz w:val="28"/>
          <w:szCs w:val="28"/>
        </w:rPr>
        <w:t>М.А.Алхлаева</w:t>
      </w:r>
      <w:proofErr w:type="spellEnd"/>
      <w:r w:rsidR="00EB5D7B">
        <w:rPr>
          <w:rFonts w:ascii="Times New Roman" w:hAnsi="Times New Roman" w:cs="Times New Roman"/>
          <w:bCs/>
          <w:sz w:val="28"/>
          <w:szCs w:val="28"/>
        </w:rPr>
        <w:t>»</w:t>
      </w:r>
      <w:r w:rsidRPr="006A0A7B">
        <w:rPr>
          <w:rFonts w:ascii="Times New Roman" w:hAnsi="Times New Roman" w:cs="Times New Roman"/>
          <w:bCs/>
          <w:sz w:val="28"/>
          <w:szCs w:val="28"/>
        </w:rPr>
        <w:t>, разработанное на основе данного примерного положения и с учетом особенностей общеобразовательной организации и муниципального образования.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Положение о ШВР утверждает директор общеобразовательной организации. При смене руководителя общеобразовательной организации                               в положение вносятся изменения.</w:t>
      </w:r>
    </w:p>
    <w:p w:rsidR="006A0A7B" w:rsidRPr="006A0A7B" w:rsidRDefault="00EB5D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Приказ «О деятельности ШВР в 2024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>_/20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E24EF9">
        <w:rPr>
          <w:rFonts w:ascii="Times New Roman" w:hAnsi="Times New Roman" w:cs="Times New Roman"/>
          <w:bCs/>
          <w:sz w:val="28"/>
          <w:szCs w:val="28"/>
        </w:rPr>
        <w:t xml:space="preserve">__ учебном году», утвержденный </w:t>
      </w:r>
      <w:r w:rsidR="00C72DF9">
        <w:rPr>
          <w:rFonts w:ascii="Times New Roman" w:hAnsi="Times New Roman" w:cs="Times New Roman"/>
          <w:bCs/>
          <w:sz w:val="28"/>
          <w:szCs w:val="28"/>
        </w:rPr>
        <w:t>2</w:t>
      </w:r>
      <w:r w:rsidR="009E5D34">
        <w:rPr>
          <w:rFonts w:ascii="Times New Roman" w:hAnsi="Times New Roman" w:cs="Times New Roman"/>
          <w:bCs/>
          <w:sz w:val="28"/>
          <w:szCs w:val="28"/>
        </w:rPr>
        <w:t>4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2DF9">
        <w:rPr>
          <w:rFonts w:ascii="Times New Roman" w:hAnsi="Times New Roman" w:cs="Times New Roman"/>
          <w:bCs/>
          <w:sz w:val="28"/>
          <w:szCs w:val="28"/>
        </w:rPr>
        <w:t>08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>. 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Ежегодно в преддверии начала учебного года издается приказ, утвержденный директором образовательной организации.</w:t>
      </w:r>
    </w:p>
    <w:p w:rsid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3. Приложения к приказу (пункт 2 Нормативной документации штаба воспитательной работы):</w:t>
      </w:r>
    </w:p>
    <w:p w:rsidR="009E5D34" w:rsidRPr="006A0A7B" w:rsidRDefault="009E5D34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Default="009E5D34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 – «Состав ШВР </w:t>
      </w:r>
      <w:r w:rsidR="00EB5D7B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EB5D7B">
        <w:rPr>
          <w:rFonts w:ascii="Times New Roman" w:hAnsi="Times New Roman" w:cs="Times New Roman"/>
          <w:bCs/>
          <w:sz w:val="28"/>
          <w:szCs w:val="28"/>
        </w:rPr>
        <w:t>Кафыркумухская</w:t>
      </w:r>
      <w:proofErr w:type="spellEnd"/>
      <w:r w:rsidR="00EB5D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5D7B"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 w:rsidR="00EB5D7B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="00EB5D7B">
        <w:rPr>
          <w:rFonts w:ascii="Times New Roman" w:hAnsi="Times New Roman" w:cs="Times New Roman"/>
          <w:bCs/>
          <w:sz w:val="28"/>
          <w:szCs w:val="28"/>
        </w:rPr>
        <w:t>М.А.Алхлаева</w:t>
      </w:r>
      <w:proofErr w:type="spellEnd"/>
      <w:proofErr w:type="gramStart"/>
      <w:r w:rsidR="00EB5D7B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A0A7B" w:rsidRPr="006A0A7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24EF9">
        <w:rPr>
          <w:rFonts w:ascii="Times New Roman" w:hAnsi="Times New Roman" w:cs="Times New Roman"/>
          <w:bCs/>
          <w:sz w:val="28"/>
          <w:szCs w:val="28"/>
        </w:rPr>
        <w:t>24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>/20</w:t>
      </w:r>
      <w:r w:rsidR="00EB5D7B">
        <w:rPr>
          <w:rFonts w:ascii="Times New Roman" w:hAnsi="Times New Roman" w:cs="Times New Roman"/>
          <w:bCs/>
          <w:sz w:val="28"/>
          <w:szCs w:val="28"/>
        </w:rPr>
        <w:t>25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 xml:space="preserve"> учебном году»;</w:t>
      </w:r>
    </w:p>
    <w:p w:rsidR="009E5D34" w:rsidRPr="006A0A7B" w:rsidRDefault="009E5D34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9E5D34">
        <w:rPr>
          <w:rFonts w:ascii="Times New Roman" w:hAnsi="Times New Roman" w:cs="Times New Roman"/>
          <w:bCs/>
          <w:sz w:val="28"/>
          <w:szCs w:val="28"/>
        </w:rPr>
        <w:t>ие № 2 – «График заседаний ШВР</w:t>
      </w:r>
      <w:r w:rsidR="009E5D34" w:rsidRPr="009E5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A7B">
        <w:rPr>
          <w:rFonts w:ascii="Times New Roman" w:hAnsi="Times New Roman" w:cs="Times New Roman"/>
          <w:bCs/>
          <w:sz w:val="28"/>
          <w:szCs w:val="28"/>
        </w:rPr>
        <w:t>в 20</w:t>
      </w:r>
      <w:r w:rsidR="00E24EF9">
        <w:rPr>
          <w:rFonts w:ascii="Times New Roman" w:hAnsi="Times New Roman" w:cs="Times New Roman"/>
          <w:bCs/>
          <w:sz w:val="28"/>
          <w:szCs w:val="28"/>
        </w:rPr>
        <w:t>24</w:t>
      </w:r>
      <w:r w:rsidRPr="006A0A7B">
        <w:rPr>
          <w:rFonts w:ascii="Times New Roman" w:hAnsi="Times New Roman" w:cs="Times New Roman"/>
          <w:bCs/>
          <w:sz w:val="28"/>
          <w:szCs w:val="28"/>
        </w:rPr>
        <w:t>/20</w:t>
      </w:r>
      <w:r w:rsidR="00E24EF9"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Pr="006A0A7B">
        <w:rPr>
          <w:rFonts w:ascii="Times New Roman" w:hAnsi="Times New Roman" w:cs="Times New Roman"/>
          <w:bCs/>
          <w:sz w:val="28"/>
          <w:szCs w:val="28"/>
        </w:rPr>
        <w:t>учебном году».</w:t>
      </w:r>
    </w:p>
    <w:p w:rsidR="009E5D34" w:rsidRPr="006A0A7B" w:rsidRDefault="009E5D34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9E5D34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Анализ деятельности ШВР</w:t>
      </w:r>
      <w:r w:rsidRPr="009E5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>общеобразовательной организации за предыдущий год функционирования ШВР.</w:t>
      </w:r>
    </w:p>
    <w:p w:rsidR="006A0A7B" w:rsidRPr="006A0A7B" w:rsidRDefault="009E5D34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>Протоколы заседаний ШВР ведутся в журнале</w:t>
      </w:r>
      <w:r w:rsidR="006A0A7B" w:rsidRPr="006A0A7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A0A7B" w:rsidRPr="006A0A7B">
        <w:rPr>
          <w:rFonts w:ascii="Times New Roman" w:hAnsi="Times New Roman" w:cs="Times New Roman"/>
          <w:bCs/>
          <w:sz w:val="28"/>
          <w:szCs w:val="28"/>
        </w:rPr>
        <w:t xml:space="preserve">                        В протоколах заседаний ШВР отражается рассмотрение всех вопросов воспитательного (в т.ч. профилактического) характера.</w:t>
      </w:r>
    </w:p>
    <w:p w:rsidR="006A0A7B" w:rsidRPr="006A0A7B" w:rsidRDefault="006A0A7B" w:rsidP="00984B1A">
      <w:pPr>
        <w:ind w:right="85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A7B">
        <w:rPr>
          <w:rFonts w:ascii="Times New Roman" w:hAnsi="Times New Roman" w:cs="Times New Roman"/>
          <w:bCs/>
          <w:sz w:val="28"/>
          <w:szCs w:val="28"/>
        </w:rPr>
        <w:t>При анализе протоколов заседания ШВР должна прослеживаться логика проведенных мероприятий в отношении несовершеннолетнего/семьи с данными, представленными узкопрофильными специалистами (</w:t>
      </w:r>
      <w:r w:rsidR="005855B6">
        <w:rPr>
          <w:rFonts w:ascii="Times New Roman" w:hAnsi="Times New Roman" w:cs="Times New Roman"/>
          <w:bCs/>
          <w:sz w:val="28"/>
          <w:szCs w:val="28"/>
        </w:rPr>
        <w:t xml:space="preserve">Зам. </w:t>
      </w:r>
      <w:proofErr w:type="spellStart"/>
      <w:r w:rsidR="005855B6">
        <w:rPr>
          <w:rFonts w:ascii="Times New Roman" w:hAnsi="Times New Roman" w:cs="Times New Roman"/>
          <w:bCs/>
          <w:sz w:val="28"/>
          <w:szCs w:val="28"/>
        </w:rPr>
        <w:t>дир</w:t>
      </w:r>
      <w:proofErr w:type="spellEnd"/>
      <w:r w:rsidR="005855B6">
        <w:rPr>
          <w:rFonts w:ascii="Times New Roman" w:hAnsi="Times New Roman" w:cs="Times New Roman"/>
          <w:bCs/>
          <w:sz w:val="28"/>
          <w:szCs w:val="28"/>
        </w:rPr>
        <w:t>. по ВР</w:t>
      </w:r>
      <w:r w:rsidR="009E5D3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E5D3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9E5D34">
        <w:rPr>
          <w:rFonts w:ascii="Times New Roman" w:hAnsi="Times New Roman" w:cs="Times New Roman"/>
          <w:bCs/>
          <w:sz w:val="28"/>
          <w:szCs w:val="28"/>
        </w:rPr>
        <w:t xml:space="preserve">. руководители, участковый с. </w:t>
      </w:r>
      <w:proofErr w:type="spellStart"/>
      <w:r w:rsidR="00567563">
        <w:rPr>
          <w:rFonts w:ascii="Times New Roman" w:hAnsi="Times New Roman" w:cs="Times New Roman"/>
          <w:bCs/>
          <w:sz w:val="28"/>
          <w:szCs w:val="28"/>
        </w:rPr>
        <w:t>Кафыркумух</w:t>
      </w:r>
      <w:proofErr w:type="spellEnd"/>
      <w:r w:rsidR="00567563">
        <w:rPr>
          <w:rFonts w:ascii="Times New Roman" w:hAnsi="Times New Roman" w:cs="Times New Roman"/>
          <w:bCs/>
          <w:sz w:val="28"/>
          <w:szCs w:val="28"/>
        </w:rPr>
        <w:t>, мед. р</w:t>
      </w:r>
      <w:r w:rsidR="009E5D34">
        <w:rPr>
          <w:rFonts w:ascii="Times New Roman" w:hAnsi="Times New Roman" w:cs="Times New Roman"/>
          <w:bCs/>
          <w:sz w:val="28"/>
          <w:szCs w:val="28"/>
        </w:rPr>
        <w:t>аботник)</w:t>
      </w: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  <w:sectPr w:rsidR="006A0A7B" w:rsidRPr="006A0A7B" w:rsidSect="00DC5A1B">
          <w:headerReference w:type="default" r:id="rId8"/>
          <w:pgSz w:w="11907" w:h="16840" w:code="9"/>
          <w:pgMar w:top="1135" w:right="425" w:bottom="1134" w:left="1418" w:header="720" w:footer="720" w:gutter="0"/>
          <w:pgNumType w:start="1"/>
          <w:cols w:space="720"/>
          <w:titlePg/>
          <w:docGrid w:linePitch="272"/>
        </w:sectPr>
      </w:pPr>
    </w:p>
    <w:p w:rsidR="006A0A7B" w:rsidRPr="006A0A7B" w:rsidRDefault="006A0A7B" w:rsidP="00424D19">
      <w:pPr>
        <w:ind w:right="850"/>
        <w:jc w:val="both"/>
        <w:rPr>
          <w:rFonts w:ascii="Times New Roman" w:hAnsi="Times New Roman" w:cs="Times New Roman"/>
          <w:bCs/>
          <w:sz w:val="28"/>
          <w:szCs w:val="28"/>
        </w:rPr>
        <w:sectPr w:rsidR="006A0A7B" w:rsidRPr="006A0A7B" w:rsidSect="002D7B70">
          <w:pgSz w:w="11907" w:h="16840" w:code="9"/>
          <w:pgMar w:top="1135" w:right="850" w:bottom="1134" w:left="1418" w:header="720" w:footer="720" w:gutter="0"/>
          <w:cols w:space="720"/>
          <w:titlePg/>
          <w:docGrid w:linePitch="272"/>
        </w:sectPr>
      </w:pPr>
    </w:p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8D" w:rsidRPr="0061218D" w:rsidRDefault="0061218D" w:rsidP="0061218D">
      <w:pPr>
        <w:spacing w:after="24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деятельности штабов воспитательной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общеобразовательных организаций </w:t>
      </w:r>
    </w:p>
    <w:p w:rsidR="00353FCC" w:rsidRDefault="00353FCC" w:rsidP="0061218D">
      <w:pPr>
        <w:spacing w:after="24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</w:p>
    <w:p w:rsidR="0061218D" w:rsidRPr="0061218D" w:rsidRDefault="00353FCC" w:rsidP="0061218D">
      <w:pPr>
        <w:spacing w:after="24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2024-2025уч.</w:t>
      </w:r>
      <w:r w:rsidR="0089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18D" w:rsidRPr="0061218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W w:w="158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0"/>
        <w:gridCol w:w="1276"/>
        <w:gridCol w:w="993"/>
        <w:gridCol w:w="992"/>
        <w:gridCol w:w="992"/>
        <w:gridCol w:w="709"/>
        <w:gridCol w:w="993"/>
        <w:gridCol w:w="1276"/>
        <w:gridCol w:w="991"/>
        <w:gridCol w:w="851"/>
        <w:gridCol w:w="851"/>
        <w:gridCol w:w="709"/>
        <w:gridCol w:w="849"/>
        <w:gridCol w:w="851"/>
        <w:gridCol w:w="832"/>
      </w:tblGrid>
      <w:tr w:rsidR="0061218D" w:rsidRPr="0061218D" w:rsidTr="00582459">
        <w:tc>
          <w:tcPr>
            <w:tcW w:w="567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Наименование МУО </w:t>
            </w:r>
          </w:p>
        </w:tc>
        <w:tc>
          <w:tcPr>
            <w:tcW w:w="850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Наименование ОО 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Количество обучающихся 1-11 классов 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обучающихся 14-18 лет, состоящих на всех формах профилактического учета в ОО 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Число обучающихся, состоящих на профилактическом учете (ПДН и КДН и ЗП)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обучающихся, состоящих на </w:t>
            </w:r>
            <w:proofErr w:type="spellStart"/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внутришкольном</w:t>
            </w:r>
            <w:proofErr w:type="spellEnd"/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профилактическом учете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обучающихся семей членов НВФ/дети прибывшие из зон Сирийско-Арабской республики  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несовершеннолетних в отношении которых совершены преступления 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99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несовершеннолетних, совершивших преступления повторно 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обучающихся совершившие правонарушения по ст. 207 УК РФ (заведомо ложное сообщение об акте терроризма) 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Число обучающихся совершивших самовольный у</w:t>
            </w:r>
            <w:bookmarkStart w:id="0" w:name="_GoBack"/>
            <w:bookmarkEnd w:id="0"/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ход 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несчастных случаев с обучающимися произошедших во время учебно-воспитательного процесса </w:t>
            </w:r>
          </w:p>
        </w:tc>
        <w:tc>
          <w:tcPr>
            <w:tcW w:w="84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несчастных случаев с обучающимися произошедших вне учебно-воспитательного процесса (ДТП, травмы на объектах РЖД, природных объектах  и т.д.) 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Число суицидальных проявлений (попытки завершенные суициды) </w:t>
            </w:r>
          </w:p>
        </w:tc>
        <w:tc>
          <w:tcPr>
            <w:tcW w:w="83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Количество обучающихся, совершивших преступления до достижения возраста уголовной ответственности  </w:t>
            </w:r>
          </w:p>
        </w:tc>
      </w:tr>
      <w:tr w:rsidR="0061218D" w:rsidRPr="0061218D" w:rsidTr="00582459">
        <w:tc>
          <w:tcPr>
            <w:tcW w:w="567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16</w:t>
            </w:r>
          </w:p>
        </w:tc>
        <w:tc>
          <w:tcPr>
            <w:tcW w:w="83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61218D">
              <w:rPr>
                <w:rFonts w:ascii="Times New Roman" w:hAnsi="Times New Roman" w:cs="Times New Roman"/>
                <w:bCs/>
                <w:sz w:val="16"/>
                <w:szCs w:val="28"/>
              </w:rPr>
              <w:t>17</w:t>
            </w:r>
          </w:p>
        </w:tc>
      </w:tr>
      <w:tr w:rsidR="0061218D" w:rsidRPr="0061218D" w:rsidTr="00582459">
        <w:tc>
          <w:tcPr>
            <w:tcW w:w="567" w:type="dxa"/>
            <w:shd w:val="clear" w:color="auto" w:fill="auto"/>
          </w:tcPr>
          <w:p w:rsidR="0061218D" w:rsidRPr="0061218D" w:rsidRDefault="009E5D34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567563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МКУ «БРУО»</w:t>
            </w:r>
          </w:p>
        </w:tc>
        <w:tc>
          <w:tcPr>
            <w:tcW w:w="850" w:type="dxa"/>
            <w:shd w:val="clear" w:color="auto" w:fill="auto"/>
          </w:tcPr>
          <w:p w:rsidR="0061218D" w:rsidRPr="0061218D" w:rsidRDefault="00567563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Кафыркумухская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М.А.Алхлаева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567563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634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-</w:t>
            </w:r>
          </w:p>
        </w:tc>
      </w:tr>
    </w:tbl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1218D" w:rsidRPr="0061218D" w:rsidSect="004D4AE1">
          <w:type w:val="continuous"/>
          <w:pgSz w:w="16840" w:h="11907" w:orient="landscape" w:code="9"/>
          <w:pgMar w:top="1135" w:right="567" w:bottom="851" w:left="1134" w:header="720" w:footer="720" w:gutter="0"/>
          <w:cols w:space="720"/>
        </w:sectPr>
      </w:pPr>
    </w:p>
    <w:p w:rsidR="0061218D" w:rsidRPr="0061218D" w:rsidRDefault="0061218D" w:rsidP="009C3583">
      <w:pPr>
        <w:spacing w:after="240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1218D" w:rsidRPr="0061218D" w:rsidRDefault="0061218D" w:rsidP="0061218D">
      <w:pPr>
        <w:spacing w:after="24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18D">
        <w:rPr>
          <w:rFonts w:ascii="Times New Roman" w:hAnsi="Times New Roman" w:cs="Times New Roman"/>
          <w:b/>
          <w:bCs/>
          <w:sz w:val="28"/>
          <w:szCs w:val="28"/>
        </w:rPr>
        <w:t xml:space="preserve">Рейтинг деятельности штабов воспитательной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417"/>
        <w:gridCol w:w="1134"/>
        <w:gridCol w:w="1134"/>
        <w:gridCol w:w="1134"/>
        <w:gridCol w:w="1134"/>
        <w:gridCol w:w="1276"/>
        <w:gridCol w:w="1276"/>
        <w:gridCol w:w="1275"/>
        <w:gridCol w:w="1275"/>
        <w:gridCol w:w="851"/>
        <w:gridCol w:w="709"/>
        <w:gridCol w:w="992"/>
      </w:tblGrid>
      <w:tr w:rsidR="0061218D" w:rsidRPr="0061218D" w:rsidTr="00582459">
        <w:tc>
          <w:tcPr>
            <w:tcW w:w="567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МУО </w:t>
            </w:r>
          </w:p>
        </w:tc>
        <w:tc>
          <w:tcPr>
            <w:tcW w:w="850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 </w:t>
            </w:r>
          </w:p>
        </w:tc>
        <w:tc>
          <w:tcPr>
            <w:tcW w:w="1417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Доля обучающихся, состоящих на </w:t>
            </w:r>
            <w:proofErr w:type="spellStart"/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всex</w:t>
            </w:r>
            <w:proofErr w:type="spellEnd"/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видах профилактического учета/доля обучающихся, охваченных индивидуальной профилактической работой, от общего количества обучающихся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 ОО, в которых организована работа служб медиации, от общего числа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несовершеннолетних обучающихся, охваченных 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различными формами деятельности в период каникулярного отдыха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 несовершеннолетних обучающихся, посещающих лагеря всех типов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  обучающихся</w:t>
            </w:r>
            <w:proofErr w:type="gramEnd"/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, которые совершили правонарушение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, от общего количества обучающихся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Доля  проведенных, мероприятий с обучающимися  из семей членов НВФ/дети прибывшие из зон Сирийско-Арабской республики  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Доля  обучающихся  из семей членов НВФ вовлеченных в дополнительное образования  </w:t>
            </w:r>
          </w:p>
        </w:tc>
        <w:tc>
          <w:tcPr>
            <w:tcW w:w="1275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 педагогов, прошедших подготовку по приоритетным направлениям воспитания обучающихся (от  общего количества педагогов)</w:t>
            </w:r>
          </w:p>
        </w:tc>
        <w:tc>
          <w:tcPr>
            <w:tcW w:w="1275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 обучающихся, являющихся членами детских общественных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 и объединений (РДШ, </w:t>
            </w:r>
            <w:proofErr w:type="spellStart"/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Юнармия</w:t>
            </w:r>
            <w:proofErr w:type="spellEnd"/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, ТОКС и т.д.)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Доля образовательных организаций, реализующих социальные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проекты с участием родительской общественности.</w:t>
            </w:r>
          </w:p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Итоговый балл 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Место в рейтинге </w:t>
            </w:r>
          </w:p>
        </w:tc>
      </w:tr>
      <w:tr w:rsidR="0061218D" w:rsidRPr="0061218D" w:rsidTr="00582459">
        <w:tc>
          <w:tcPr>
            <w:tcW w:w="567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18D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61218D" w:rsidRPr="0061218D" w:rsidTr="00582459">
        <w:tc>
          <w:tcPr>
            <w:tcW w:w="567" w:type="dxa"/>
            <w:shd w:val="clear" w:color="auto" w:fill="auto"/>
          </w:tcPr>
          <w:p w:rsidR="0061218D" w:rsidRPr="0061218D" w:rsidRDefault="00C863AF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1218D" w:rsidRPr="0061218D" w:rsidRDefault="00353FCC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МКУ «БРУО»</w:t>
            </w:r>
          </w:p>
        </w:tc>
        <w:tc>
          <w:tcPr>
            <w:tcW w:w="850" w:type="dxa"/>
            <w:shd w:val="clear" w:color="auto" w:fill="auto"/>
          </w:tcPr>
          <w:p w:rsidR="0061218D" w:rsidRPr="0061218D" w:rsidRDefault="00353FCC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Кафыркумухская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М.А.Алхлаева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1218D" w:rsidRPr="0061218D" w:rsidRDefault="009C3583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1218D" w:rsidRPr="0061218D" w:rsidRDefault="0061218D" w:rsidP="0061218D">
            <w:pPr>
              <w:spacing w:after="240"/>
              <w:ind w:right="-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8D" w:rsidRPr="0061218D" w:rsidRDefault="0061218D" w:rsidP="0061218D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90" w:rsidRPr="00C51E90" w:rsidRDefault="00C51E90" w:rsidP="00C51E90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11" w:rsidRDefault="000C6A11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90" w:rsidRDefault="00C51E90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51E90" w:rsidSect="00C51E90">
          <w:pgSz w:w="16838" w:h="11906" w:orient="landscape"/>
          <w:pgMar w:top="709" w:right="295" w:bottom="851" w:left="1134" w:header="709" w:footer="709" w:gutter="0"/>
          <w:cols w:space="708"/>
          <w:docGrid w:linePitch="360"/>
        </w:sect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4C8" w:rsidRPr="000C6A11" w:rsidRDefault="00D534C8" w:rsidP="000C6A11">
      <w:pPr>
        <w:spacing w:after="24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534C8" w:rsidRPr="000C6A11" w:rsidSect="00D12ADE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8318AC" w:rsidRDefault="008318AC" w:rsidP="000C6A11">
      <w:pPr>
        <w:spacing w:after="24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8AC" w:rsidRDefault="008318AC" w:rsidP="008318AC">
      <w:pPr>
        <w:tabs>
          <w:tab w:val="left" w:pos="712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318AC" w:rsidRDefault="008318AC" w:rsidP="008318AC">
      <w:pPr>
        <w:tabs>
          <w:tab w:val="left" w:pos="712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318AC" w:rsidRDefault="008318AC" w:rsidP="008318AC">
      <w:pPr>
        <w:tabs>
          <w:tab w:val="left" w:pos="712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318AC" w:rsidRDefault="008318AC" w:rsidP="008318AC">
      <w:pPr>
        <w:tabs>
          <w:tab w:val="left" w:pos="712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318AC" w:rsidRDefault="008318AC" w:rsidP="008318AC">
      <w:pPr>
        <w:tabs>
          <w:tab w:val="left" w:pos="712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318AC" w:rsidRDefault="008318AC" w:rsidP="008318AC">
      <w:pPr>
        <w:tabs>
          <w:tab w:val="left" w:pos="712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B2AC2" w:rsidRPr="008318AC" w:rsidRDefault="007B2AC2" w:rsidP="008318AC">
      <w:pPr>
        <w:tabs>
          <w:tab w:val="left" w:pos="7125"/>
        </w:tabs>
        <w:spacing w:after="240"/>
        <w:ind w:right="-1"/>
        <w:rPr>
          <w:rFonts w:ascii="Times New Roman" w:hAnsi="Times New Roman" w:cs="Times New Roman"/>
          <w:sz w:val="20"/>
          <w:szCs w:val="20"/>
        </w:rPr>
      </w:pPr>
    </w:p>
    <w:p w:rsidR="00BD3699" w:rsidRPr="008318AC" w:rsidRDefault="00F7031A" w:rsidP="00F7031A">
      <w:pPr>
        <w:tabs>
          <w:tab w:val="left" w:pos="7125"/>
        </w:tabs>
        <w:spacing w:after="240"/>
        <w:ind w:right="-1"/>
        <w:rPr>
          <w:sz w:val="20"/>
          <w:szCs w:val="20"/>
        </w:rPr>
      </w:pPr>
      <w:r w:rsidRPr="008318AC">
        <w:rPr>
          <w:sz w:val="20"/>
          <w:szCs w:val="20"/>
        </w:rPr>
        <w:tab/>
      </w:r>
    </w:p>
    <w:sectPr w:rsidR="00BD3699" w:rsidRPr="008318AC" w:rsidSect="00F7031A">
      <w:pgSz w:w="11906" w:h="16838"/>
      <w:pgMar w:top="1134" w:right="849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DB" w:rsidRDefault="00CE63DB">
      <w:r>
        <w:separator/>
      </w:r>
    </w:p>
  </w:endnote>
  <w:endnote w:type="continuationSeparator" w:id="0">
    <w:p w:rsidR="00CE63DB" w:rsidRDefault="00CE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DB" w:rsidRDefault="00CE63DB">
      <w:r>
        <w:separator/>
      </w:r>
    </w:p>
  </w:footnote>
  <w:footnote w:type="continuationSeparator" w:id="0">
    <w:p w:rsidR="00CE63DB" w:rsidRDefault="00CE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1B" w:rsidRDefault="00CE63DB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5D29"/>
    <w:multiLevelType w:val="hybridMultilevel"/>
    <w:tmpl w:val="813079AA"/>
    <w:lvl w:ilvl="0" w:tplc="0F6037FA">
      <w:numFmt w:val="bullet"/>
      <w:lvlText w:val="-"/>
      <w:lvlJc w:val="left"/>
      <w:pPr>
        <w:ind w:left="144" w:hanging="144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DA00DF70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2" w:tplc="6564039A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3" w:tplc="94D64924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4" w:tplc="7EFE6568">
      <w:numFmt w:val="bullet"/>
      <w:lvlText w:val="•"/>
      <w:lvlJc w:val="left"/>
      <w:pPr>
        <w:ind w:left="4087" w:hanging="144"/>
      </w:pPr>
      <w:rPr>
        <w:rFonts w:hint="default"/>
        <w:lang w:val="ru-RU" w:eastAsia="en-US" w:bidi="ar-SA"/>
      </w:rPr>
    </w:lvl>
    <w:lvl w:ilvl="5" w:tplc="C44ADC2E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6" w:tplc="8A4E7A78">
      <w:numFmt w:val="bullet"/>
      <w:lvlText w:val="•"/>
      <w:lvlJc w:val="left"/>
      <w:pPr>
        <w:ind w:left="5980" w:hanging="144"/>
      </w:pPr>
      <w:rPr>
        <w:rFonts w:hint="default"/>
        <w:lang w:val="ru-RU" w:eastAsia="en-US" w:bidi="ar-SA"/>
      </w:rPr>
    </w:lvl>
    <w:lvl w:ilvl="7" w:tplc="E902AAB4">
      <w:numFmt w:val="bullet"/>
      <w:lvlText w:val="•"/>
      <w:lvlJc w:val="left"/>
      <w:pPr>
        <w:ind w:left="6927" w:hanging="144"/>
      </w:pPr>
      <w:rPr>
        <w:rFonts w:hint="default"/>
        <w:lang w:val="ru-RU" w:eastAsia="en-US" w:bidi="ar-SA"/>
      </w:rPr>
    </w:lvl>
    <w:lvl w:ilvl="8" w:tplc="6B32CCF0">
      <w:numFmt w:val="bullet"/>
      <w:lvlText w:val="•"/>
      <w:lvlJc w:val="left"/>
      <w:pPr>
        <w:ind w:left="7874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E2"/>
    <w:rsid w:val="00015C09"/>
    <w:rsid w:val="00056302"/>
    <w:rsid w:val="000A123B"/>
    <w:rsid w:val="000C6A11"/>
    <w:rsid w:val="0013051F"/>
    <w:rsid w:val="001538D0"/>
    <w:rsid w:val="001A100E"/>
    <w:rsid w:val="001B7DD5"/>
    <w:rsid w:val="0022692A"/>
    <w:rsid w:val="00257092"/>
    <w:rsid w:val="00285FAB"/>
    <w:rsid w:val="002A5F7E"/>
    <w:rsid w:val="002E09B9"/>
    <w:rsid w:val="002E35DD"/>
    <w:rsid w:val="002E6B1E"/>
    <w:rsid w:val="00306149"/>
    <w:rsid w:val="003257C8"/>
    <w:rsid w:val="00345E98"/>
    <w:rsid w:val="00353FCC"/>
    <w:rsid w:val="003560A2"/>
    <w:rsid w:val="003561C6"/>
    <w:rsid w:val="00361844"/>
    <w:rsid w:val="003962EE"/>
    <w:rsid w:val="003D4BC6"/>
    <w:rsid w:val="00424D19"/>
    <w:rsid w:val="004A3DB6"/>
    <w:rsid w:val="004D0213"/>
    <w:rsid w:val="004D77A5"/>
    <w:rsid w:val="00501813"/>
    <w:rsid w:val="00532828"/>
    <w:rsid w:val="00567563"/>
    <w:rsid w:val="005855B6"/>
    <w:rsid w:val="005B1DAF"/>
    <w:rsid w:val="005D6084"/>
    <w:rsid w:val="0061218D"/>
    <w:rsid w:val="00646252"/>
    <w:rsid w:val="00672D20"/>
    <w:rsid w:val="00692167"/>
    <w:rsid w:val="006A0A7B"/>
    <w:rsid w:val="0070639D"/>
    <w:rsid w:val="00735575"/>
    <w:rsid w:val="00750EB9"/>
    <w:rsid w:val="00761E73"/>
    <w:rsid w:val="00792C5C"/>
    <w:rsid w:val="007B2AC2"/>
    <w:rsid w:val="008139BB"/>
    <w:rsid w:val="00814528"/>
    <w:rsid w:val="008173B1"/>
    <w:rsid w:val="008318AC"/>
    <w:rsid w:val="0083641B"/>
    <w:rsid w:val="008566C3"/>
    <w:rsid w:val="008929A5"/>
    <w:rsid w:val="008B3933"/>
    <w:rsid w:val="008E7EFB"/>
    <w:rsid w:val="00915E00"/>
    <w:rsid w:val="009427E2"/>
    <w:rsid w:val="0098204F"/>
    <w:rsid w:val="00984B1A"/>
    <w:rsid w:val="0099141A"/>
    <w:rsid w:val="00996E95"/>
    <w:rsid w:val="009C05BA"/>
    <w:rsid w:val="009C3583"/>
    <w:rsid w:val="009E2951"/>
    <w:rsid w:val="009E5D34"/>
    <w:rsid w:val="009F2064"/>
    <w:rsid w:val="009F37B2"/>
    <w:rsid w:val="00A05D62"/>
    <w:rsid w:val="00A1577D"/>
    <w:rsid w:val="00A24099"/>
    <w:rsid w:val="00A4502B"/>
    <w:rsid w:val="00A51127"/>
    <w:rsid w:val="00AD6239"/>
    <w:rsid w:val="00B95B18"/>
    <w:rsid w:val="00BC1591"/>
    <w:rsid w:val="00BD3699"/>
    <w:rsid w:val="00C059F0"/>
    <w:rsid w:val="00C35097"/>
    <w:rsid w:val="00C35BAA"/>
    <w:rsid w:val="00C51E90"/>
    <w:rsid w:val="00C6300D"/>
    <w:rsid w:val="00C72DF9"/>
    <w:rsid w:val="00C841D5"/>
    <w:rsid w:val="00C8631A"/>
    <w:rsid w:val="00C863AF"/>
    <w:rsid w:val="00CB520C"/>
    <w:rsid w:val="00CD42BE"/>
    <w:rsid w:val="00CD44FF"/>
    <w:rsid w:val="00CE63DB"/>
    <w:rsid w:val="00D2298C"/>
    <w:rsid w:val="00D5126C"/>
    <w:rsid w:val="00D534C8"/>
    <w:rsid w:val="00D71880"/>
    <w:rsid w:val="00DB1EF9"/>
    <w:rsid w:val="00E166E5"/>
    <w:rsid w:val="00E24EF9"/>
    <w:rsid w:val="00E347F4"/>
    <w:rsid w:val="00E50E2F"/>
    <w:rsid w:val="00E61B2D"/>
    <w:rsid w:val="00E72E58"/>
    <w:rsid w:val="00EB13AD"/>
    <w:rsid w:val="00EB5D7B"/>
    <w:rsid w:val="00ED5549"/>
    <w:rsid w:val="00F003F5"/>
    <w:rsid w:val="00F643B0"/>
    <w:rsid w:val="00F7031A"/>
    <w:rsid w:val="00F900E9"/>
    <w:rsid w:val="00FB52B3"/>
    <w:rsid w:val="00FB7264"/>
    <w:rsid w:val="00FC3D41"/>
    <w:rsid w:val="00FC773B"/>
    <w:rsid w:val="00FE011F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3085"/>
  <w15:docId w15:val="{DEDB5F40-15BB-4A52-93DC-904225DD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98"/>
  </w:style>
  <w:style w:type="paragraph" w:styleId="1">
    <w:name w:val="heading 1"/>
    <w:basedOn w:val="a"/>
    <w:next w:val="a"/>
    <w:rsid w:val="00345E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5E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5E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5E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5E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5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5E9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345E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345E98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6A11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A0A7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ez8ENZWEBnnAo8akwXr8Pjmtw==">AMUW2mVHjlxWwSdBNdfcEr1hDNtty5sN6wS5grzYaQbgLojMcWThJrlVmTW2EPOA0HEGQ/vj8Q41qjENGJ4m8ry0liEK9Qi1lbd5CPIc7Mx7r23kpMerPpDGEN5EfkUgVYX5hAsytbw8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2024-12-06T09:40:00Z</cp:lastPrinted>
  <dcterms:created xsi:type="dcterms:W3CDTF">2022-03-14T07:53:00Z</dcterms:created>
  <dcterms:modified xsi:type="dcterms:W3CDTF">2024-12-16T09:51:00Z</dcterms:modified>
</cp:coreProperties>
</file>